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A203A" w14:textId="77777777" w:rsidR="00B70C48" w:rsidRPr="00B70C48" w:rsidRDefault="00B70C48" w:rsidP="006E6F27">
      <w:pPr>
        <w:spacing w:after="120" w:line="276" w:lineRule="auto"/>
        <w:ind w:left="1701" w:right="1701"/>
        <w:rPr>
          <w:rFonts w:ascii="Trebuchet MS" w:hAnsi="Trebuchet MS"/>
          <w:sz w:val="22"/>
          <w:szCs w:val="22"/>
        </w:rPr>
      </w:pPr>
    </w:p>
    <w:p w14:paraId="399085C6" w14:textId="77777777" w:rsidR="005E14E1" w:rsidRDefault="005E14E1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</w:p>
    <w:p w14:paraId="04E26517" w14:textId="77777777" w:rsidR="00E53C3F" w:rsidRDefault="00E53C3F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</w:p>
    <w:p w14:paraId="3AF7241C" w14:textId="77777777" w:rsidR="00216602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94C98">
        <w:rPr>
          <w:rFonts w:ascii="Trebuchet MS" w:hAnsi="Trebuchet MS"/>
          <w:b/>
          <w:sz w:val="22"/>
          <w:szCs w:val="22"/>
        </w:rPr>
        <w:t>INSTRUCȚIUNE</w:t>
      </w:r>
    </w:p>
    <w:p w14:paraId="6AAD8219" w14:textId="77777777" w:rsidR="005E14E1" w:rsidRPr="00594C98" w:rsidRDefault="005E14E1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</w:p>
    <w:p w14:paraId="36312C60" w14:textId="2044C6C1" w:rsidR="00216602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94C98">
        <w:rPr>
          <w:rFonts w:ascii="Trebuchet MS" w:hAnsi="Trebuchet MS"/>
          <w:b/>
          <w:sz w:val="22"/>
          <w:szCs w:val="22"/>
        </w:rPr>
        <w:t xml:space="preserve">privind </w:t>
      </w:r>
      <w:r w:rsidR="002E62BD" w:rsidRPr="00594C98">
        <w:rPr>
          <w:rFonts w:ascii="Trebuchet MS" w:hAnsi="Trebuchet MS"/>
          <w:b/>
          <w:sz w:val="22"/>
          <w:szCs w:val="22"/>
        </w:rPr>
        <w:t>panourile și plăcile aferente proiectelor ce constau în finanțarea infrastructurii sau a unor operațiuni de construcție şi depăşesc valoarea de 500.000 euro</w:t>
      </w:r>
    </w:p>
    <w:p w14:paraId="7868E1DB" w14:textId="77777777" w:rsidR="005E14E1" w:rsidRPr="00594C98" w:rsidRDefault="005E14E1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</w:p>
    <w:p w14:paraId="11F29EE2" w14:textId="77777777" w:rsidR="00594C98" w:rsidRPr="002E62BD" w:rsidRDefault="00594C98" w:rsidP="00216602">
      <w:pPr>
        <w:spacing w:after="120" w:line="276" w:lineRule="auto"/>
        <w:ind w:left="1701" w:right="284"/>
        <w:jc w:val="center"/>
        <w:rPr>
          <w:rFonts w:ascii="Trebuchet MS" w:hAnsi="Trebuchet MS"/>
          <w:sz w:val="22"/>
          <w:szCs w:val="22"/>
        </w:rPr>
      </w:pPr>
    </w:p>
    <w:p w14:paraId="17802F6D" w14:textId="6B3F6009" w:rsidR="00216602" w:rsidRDefault="00216602" w:rsidP="00216602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 w:rsidRPr="00216602">
        <w:rPr>
          <w:rFonts w:ascii="Trebuchet MS" w:hAnsi="Trebuchet MS"/>
          <w:sz w:val="22"/>
          <w:szCs w:val="22"/>
        </w:rPr>
        <w:t>În conformitate cu Regulamentul CE 1303/2014, Anexa XII, beneficiarii proiectelor finanțate din Instrumente Structurale trebuie să informeze publicul larg cu privire la contribuția obținută din partea fondurilor, prin</w:t>
      </w:r>
      <w:r w:rsidR="00594C98">
        <w:rPr>
          <w:rFonts w:ascii="Trebuchet MS" w:hAnsi="Trebuchet MS"/>
          <w:sz w:val="22"/>
          <w:szCs w:val="22"/>
        </w:rPr>
        <w:t xml:space="preserve"> realizarea</w:t>
      </w:r>
      <w:r w:rsidR="005E14E1">
        <w:rPr>
          <w:rFonts w:ascii="Trebuchet MS" w:hAnsi="Trebuchet MS"/>
          <w:sz w:val="22"/>
          <w:szCs w:val="22"/>
        </w:rPr>
        <w:t xml:space="preserve"> măsurilor</w:t>
      </w:r>
      <w:r w:rsidRPr="00216602">
        <w:rPr>
          <w:rFonts w:ascii="Trebuchet MS" w:hAnsi="Trebuchet MS"/>
          <w:sz w:val="22"/>
          <w:szCs w:val="22"/>
        </w:rPr>
        <w:t xml:space="preserve"> </w:t>
      </w:r>
      <w:r w:rsidR="00594C98" w:rsidRPr="00216602">
        <w:rPr>
          <w:rFonts w:ascii="Trebuchet MS" w:hAnsi="Trebuchet MS"/>
          <w:sz w:val="22"/>
          <w:szCs w:val="22"/>
        </w:rPr>
        <w:t xml:space="preserve">minime </w:t>
      </w:r>
      <w:r w:rsidRPr="00216602">
        <w:rPr>
          <w:rFonts w:ascii="Trebuchet MS" w:hAnsi="Trebuchet MS"/>
          <w:sz w:val="22"/>
          <w:szCs w:val="22"/>
        </w:rPr>
        <w:t xml:space="preserve">de informare și comunicare </w:t>
      </w:r>
      <w:r w:rsidR="004E2C76">
        <w:rPr>
          <w:rFonts w:ascii="Trebuchet MS" w:hAnsi="Trebuchet MS"/>
          <w:sz w:val="22"/>
          <w:szCs w:val="22"/>
        </w:rPr>
        <w:t xml:space="preserve">prezentate </w:t>
      </w:r>
      <w:r w:rsidR="00594C98">
        <w:rPr>
          <w:rFonts w:ascii="Trebuchet MS" w:hAnsi="Trebuchet MS"/>
          <w:sz w:val="22"/>
          <w:szCs w:val="22"/>
        </w:rPr>
        <w:t xml:space="preserve">în </w:t>
      </w:r>
      <w:r w:rsidR="00594C98" w:rsidRPr="00594C98">
        <w:rPr>
          <w:rFonts w:ascii="Trebuchet MS" w:hAnsi="Trebuchet MS"/>
          <w:sz w:val="22"/>
          <w:szCs w:val="22"/>
        </w:rPr>
        <w:t>Manual</w:t>
      </w:r>
      <w:r w:rsidR="00594C98">
        <w:rPr>
          <w:rFonts w:ascii="Trebuchet MS" w:hAnsi="Trebuchet MS"/>
          <w:sz w:val="22"/>
          <w:szCs w:val="22"/>
        </w:rPr>
        <w:t>ul</w:t>
      </w:r>
      <w:r w:rsidR="00594C98" w:rsidRPr="00594C98">
        <w:rPr>
          <w:rFonts w:ascii="Trebuchet MS" w:hAnsi="Trebuchet MS"/>
          <w:sz w:val="22"/>
          <w:szCs w:val="22"/>
        </w:rPr>
        <w:t xml:space="preserve"> de Identitate Vizuală pentru Instrumentele Structurale 2014-2020</w:t>
      </w:r>
      <w:r w:rsidR="00594C98">
        <w:rPr>
          <w:rFonts w:ascii="Trebuchet MS" w:hAnsi="Trebuchet MS"/>
          <w:sz w:val="22"/>
          <w:szCs w:val="22"/>
        </w:rPr>
        <w:t>,</w:t>
      </w:r>
      <w:r w:rsidR="00594C98" w:rsidRPr="00594C98">
        <w:rPr>
          <w:rFonts w:ascii="Trebuchet MS" w:hAnsi="Trebuchet MS"/>
          <w:sz w:val="22"/>
          <w:szCs w:val="22"/>
        </w:rPr>
        <w:t xml:space="preserve"> revizuit ianuarie 2018</w:t>
      </w:r>
      <w:r w:rsidR="00594C98">
        <w:rPr>
          <w:rFonts w:ascii="Trebuchet MS" w:hAnsi="Trebuchet MS"/>
          <w:sz w:val="22"/>
          <w:szCs w:val="22"/>
        </w:rPr>
        <w:t>.</w:t>
      </w:r>
    </w:p>
    <w:p w14:paraId="2BA82631" w14:textId="4B7B92BC" w:rsidR="00216602" w:rsidRPr="00594C98" w:rsidRDefault="00261669" w:rsidP="00216602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 w:rsidRPr="00594C98">
        <w:rPr>
          <w:rFonts w:ascii="Trebuchet MS" w:hAnsi="Trebuchet MS"/>
          <w:sz w:val="22"/>
          <w:szCs w:val="22"/>
        </w:rPr>
        <w:t>Î</w:t>
      </w:r>
      <w:r w:rsidR="00216602" w:rsidRPr="00594C98">
        <w:rPr>
          <w:rFonts w:ascii="Trebuchet MS" w:hAnsi="Trebuchet MS"/>
          <w:sz w:val="22"/>
          <w:szCs w:val="22"/>
        </w:rPr>
        <w:t xml:space="preserve">n vederea realizării </w:t>
      </w:r>
      <w:r w:rsidRPr="00594C98">
        <w:rPr>
          <w:rFonts w:ascii="Trebuchet MS" w:hAnsi="Trebuchet MS"/>
          <w:sz w:val="22"/>
          <w:szCs w:val="22"/>
        </w:rPr>
        <w:t>măsurilor de publicita</w:t>
      </w:r>
      <w:r w:rsidR="00C81FB0" w:rsidRPr="00594C98">
        <w:rPr>
          <w:rFonts w:ascii="Trebuchet MS" w:hAnsi="Trebuchet MS"/>
          <w:sz w:val="22"/>
          <w:szCs w:val="22"/>
        </w:rPr>
        <w:t xml:space="preserve">te </w:t>
      </w:r>
      <w:r w:rsidRPr="00594C98">
        <w:rPr>
          <w:rFonts w:ascii="Trebuchet MS" w:hAnsi="Trebuchet MS"/>
          <w:sz w:val="22"/>
          <w:szCs w:val="22"/>
        </w:rPr>
        <w:t xml:space="preserve">pentru proiectele </w:t>
      </w:r>
      <w:r w:rsidR="00216602" w:rsidRPr="00594C98">
        <w:rPr>
          <w:rFonts w:ascii="Trebuchet MS" w:hAnsi="Trebuchet MS"/>
          <w:sz w:val="22"/>
          <w:szCs w:val="22"/>
        </w:rPr>
        <w:t>finanțate din fondurile europene și în conformitate cu prevederile Regulamentului</w:t>
      </w:r>
      <w:r w:rsidR="004E2C76">
        <w:rPr>
          <w:rFonts w:ascii="Trebuchet MS" w:hAnsi="Trebuchet MS"/>
          <w:sz w:val="22"/>
          <w:szCs w:val="22"/>
        </w:rPr>
        <w:t xml:space="preserve"> (UE)</w:t>
      </w:r>
      <w:r w:rsidR="00216602" w:rsidRPr="00594C98">
        <w:rPr>
          <w:rFonts w:ascii="Trebuchet MS" w:hAnsi="Trebuchet MS"/>
          <w:sz w:val="22"/>
          <w:szCs w:val="22"/>
        </w:rPr>
        <w:t xml:space="preserve"> nr. 1303/2013 al Parlamentului European și al Consiliului de stabilire a unor dispoziții comune privind Fondul European de Dezvoltare Regională, Fondul Social European, Fondul de Coeziune, Fondul European Agricol pentru Dezvoltare Rurală și Fondul European pentru Pescuit </w:t>
      </w:r>
      <w:r w:rsidR="00767E85">
        <w:rPr>
          <w:rFonts w:ascii="Trebuchet MS" w:hAnsi="Trebuchet MS"/>
          <w:sz w:val="22"/>
          <w:szCs w:val="22"/>
        </w:rPr>
        <w:t>ș</w:t>
      </w:r>
      <w:r w:rsidR="00216602" w:rsidRPr="00594C98">
        <w:rPr>
          <w:rFonts w:ascii="Trebuchet MS" w:hAnsi="Trebuchet MS"/>
          <w:sz w:val="22"/>
          <w:szCs w:val="22"/>
        </w:rPr>
        <w:t xml:space="preserve">i Afaceri Maritime, precum și de stabilire a unor dispoziții generale privind Fondul European De Dezvoltare Regională, Fondul Social European, Fondul de Coeziune și Fondul European pentru Pescuit și Afaceri Maritime și de abrogare a Regulamentului (CE) nr. 1083/2006 al Consiliului și a Regulamentului nr. 1304/2013 al Parlamentului European și al Consiliului privind  Fondul  Social  European și  de  abrogare  a  Regulamentului  (CE)  nr.  1081/2006  al  Consiliului, </w:t>
      </w:r>
    </w:p>
    <w:p w14:paraId="31DB7608" w14:textId="77777777" w:rsidR="00216602" w:rsidRPr="002E62BD" w:rsidRDefault="00216602" w:rsidP="00216602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</w:p>
    <w:p w14:paraId="4B4BEB58" w14:textId="1154CA3E" w:rsidR="00216602" w:rsidRPr="00594C98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94C98">
        <w:rPr>
          <w:rFonts w:ascii="Trebuchet MS" w:hAnsi="Trebuchet MS"/>
          <w:b/>
          <w:sz w:val="22"/>
          <w:szCs w:val="22"/>
        </w:rPr>
        <w:t>Ministrul Fondurilor Europene</w:t>
      </w:r>
    </w:p>
    <w:p w14:paraId="3A907206" w14:textId="77777777" w:rsidR="00216602" w:rsidRPr="00594C98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94C98">
        <w:rPr>
          <w:rFonts w:ascii="Trebuchet MS" w:hAnsi="Trebuchet MS"/>
          <w:b/>
          <w:sz w:val="22"/>
          <w:szCs w:val="22"/>
        </w:rPr>
        <w:t>(în calitate de coordonator al fondurilor europene structurale și de investiții 2014-2020 în România)</w:t>
      </w:r>
    </w:p>
    <w:p w14:paraId="52732EF7" w14:textId="77777777" w:rsidR="00216602" w:rsidRPr="00594C98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</w:p>
    <w:p w14:paraId="27DD8AF4" w14:textId="77777777" w:rsidR="00216602" w:rsidRPr="00594C98" w:rsidRDefault="00216602" w:rsidP="00216602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94C98">
        <w:rPr>
          <w:rFonts w:ascii="Trebuchet MS" w:hAnsi="Trebuchet MS"/>
          <w:b/>
          <w:sz w:val="22"/>
          <w:szCs w:val="22"/>
        </w:rPr>
        <w:t>emite prezenta INSTRUCȚIUNE</w:t>
      </w:r>
    </w:p>
    <w:p w14:paraId="230CA315" w14:textId="77777777" w:rsidR="00216602" w:rsidRP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color w:val="FF0000"/>
          <w:sz w:val="22"/>
          <w:szCs w:val="22"/>
        </w:rPr>
      </w:pPr>
    </w:p>
    <w:p w14:paraId="62AE87D3" w14:textId="5EB9080B" w:rsidR="00744BDC" w:rsidRDefault="00216602" w:rsidP="002F1077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 w:rsidRPr="002F1077">
        <w:rPr>
          <w:rFonts w:ascii="Trebuchet MS" w:hAnsi="Trebuchet MS"/>
          <w:sz w:val="22"/>
          <w:szCs w:val="22"/>
        </w:rPr>
        <w:t>Art. 1 Beneficiarii proiectelor</w:t>
      </w:r>
      <w:r w:rsidR="00C81FB0" w:rsidRPr="002F1077">
        <w:rPr>
          <w:rFonts w:ascii="Trebuchet MS" w:hAnsi="Trebuchet MS"/>
          <w:sz w:val="22"/>
          <w:szCs w:val="22"/>
        </w:rPr>
        <w:t xml:space="preserve"> ce constau în finanțarea infrastructurii sau a unor operațiuni de construcție şi depăşesc valoarea de 500.000 euro </w:t>
      </w:r>
      <w:r w:rsidR="00744BDC">
        <w:rPr>
          <w:rFonts w:ascii="Trebuchet MS" w:hAnsi="Trebuchet MS"/>
          <w:sz w:val="22"/>
          <w:szCs w:val="22"/>
        </w:rPr>
        <w:t>trebuie să amplaseze panouri pentru afișare temp</w:t>
      </w:r>
      <w:r w:rsidR="002E1B44">
        <w:rPr>
          <w:rFonts w:ascii="Trebuchet MS" w:hAnsi="Trebuchet MS"/>
          <w:sz w:val="22"/>
          <w:szCs w:val="22"/>
        </w:rPr>
        <w:t xml:space="preserve">orară. Față de modelul accesibil la link-ul </w:t>
      </w:r>
      <w:hyperlink r:id="rId7" w:history="1">
        <w:r w:rsidR="002E1B44" w:rsidRPr="00057AAD">
          <w:rPr>
            <w:rStyle w:val="Hyperlink"/>
            <w:rFonts w:ascii="Trebuchet MS" w:hAnsi="Trebuchet MS"/>
            <w:sz w:val="22"/>
            <w:szCs w:val="22"/>
          </w:rPr>
          <w:t>http://www.fonduri-ue.ro/transparenta/comunicare</w:t>
        </w:r>
      </w:hyperlink>
      <w:r w:rsidR="002E1B44">
        <w:rPr>
          <w:rFonts w:ascii="Trebuchet MS" w:hAnsi="Trebuchet MS"/>
          <w:sz w:val="22"/>
          <w:szCs w:val="22"/>
        </w:rPr>
        <w:t xml:space="preserve">, </w:t>
      </w:r>
      <w:r w:rsidR="00AC46E0" w:rsidRPr="00AC46E0">
        <w:rPr>
          <w:rFonts w:ascii="Trebuchet MS" w:hAnsi="Trebuchet MS"/>
          <w:sz w:val="22"/>
          <w:szCs w:val="22"/>
        </w:rPr>
        <w:t>pe lângă elementele de informare minime obligatorii</w:t>
      </w:r>
      <w:r w:rsidR="00573F3F">
        <w:rPr>
          <w:rFonts w:ascii="Trebuchet MS" w:hAnsi="Trebuchet MS"/>
          <w:sz w:val="22"/>
          <w:szCs w:val="22"/>
        </w:rPr>
        <w:t>,</w:t>
      </w:r>
      <w:r w:rsidR="00AC46E0" w:rsidRPr="00AC46E0">
        <w:rPr>
          <w:rFonts w:ascii="Trebuchet MS" w:hAnsi="Trebuchet MS"/>
          <w:sz w:val="22"/>
          <w:szCs w:val="22"/>
        </w:rPr>
        <w:t xml:space="preserve"> </w:t>
      </w:r>
      <w:r w:rsidR="002E1B44">
        <w:rPr>
          <w:rFonts w:ascii="Trebuchet MS" w:hAnsi="Trebuchet MS"/>
          <w:sz w:val="22"/>
          <w:szCs w:val="22"/>
        </w:rPr>
        <w:lastRenderedPageBreak/>
        <w:t>beneficiarii pot adăuga, sub titlul proiectului</w:t>
      </w:r>
      <w:r w:rsidR="00AC46E0">
        <w:rPr>
          <w:rFonts w:ascii="Trebuchet MS" w:hAnsi="Trebuchet MS"/>
          <w:sz w:val="22"/>
          <w:szCs w:val="22"/>
        </w:rPr>
        <w:t>,</w:t>
      </w:r>
      <w:r w:rsidR="00AC46E0" w:rsidRPr="00AC46E0">
        <w:t xml:space="preserve"> </w:t>
      </w:r>
      <w:r w:rsidR="00AC46E0">
        <w:rPr>
          <w:rFonts w:ascii="Trebuchet MS" w:hAnsi="Trebuchet MS"/>
          <w:sz w:val="22"/>
          <w:szCs w:val="22"/>
        </w:rPr>
        <w:t>t</w:t>
      </w:r>
      <w:r w:rsidR="00AC46E0" w:rsidRPr="00AC46E0">
        <w:rPr>
          <w:rFonts w:ascii="Trebuchet MS" w:hAnsi="Trebuchet MS"/>
          <w:sz w:val="22"/>
          <w:szCs w:val="22"/>
        </w:rPr>
        <w:t>itlul contractului de lucrări</w:t>
      </w:r>
      <w:r w:rsidR="00AC46E0">
        <w:rPr>
          <w:rFonts w:ascii="Trebuchet MS" w:hAnsi="Trebuchet MS"/>
          <w:sz w:val="22"/>
          <w:szCs w:val="22"/>
        </w:rPr>
        <w:t xml:space="preserve"> </w:t>
      </w:r>
      <w:r w:rsidR="00AC46E0" w:rsidRPr="00AC46E0">
        <w:rPr>
          <w:rFonts w:ascii="Trebuchet MS" w:hAnsi="Trebuchet MS"/>
          <w:sz w:val="22"/>
          <w:szCs w:val="22"/>
        </w:rPr>
        <w:t>/</w:t>
      </w:r>
      <w:r w:rsidR="009410FC">
        <w:rPr>
          <w:rFonts w:ascii="Trebuchet MS" w:hAnsi="Trebuchet MS"/>
          <w:sz w:val="22"/>
          <w:szCs w:val="22"/>
        </w:rPr>
        <w:t xml:space="preserve"> </w:t>
      </w:r>
      <w:r w:rsidR="00560424">
        <w:rPr>
          <w:rFonts w:ascii="Trebuchet MS" w:hAnsi="Trebuchet MS"/>
          <w:sz w:val="22"/>
          <w:szCs w:val="22"/>
        </w:rPr>
        <w:t>d</w:t>
      </w:r>
      <w:r w:rsidR="00AC46E0" w:rsidRPr="00AC46E0">
        <w:rPr>
          <w:rFonts w:ascii="Trebuchet MS" w:hAnsi="Trebuchet MS"/>
          <w:sz w:val="22"/>
          <w:szCs w:val="22"/>
        </w:rPr>
        <w:t>enumirea investiției</w:t>
      </w:r>
      <w:r w:rsidR="00560424">
        <w:rPr>
          <w:rFonts w:ascii="Trebuchet MS" w:hAnsi="Trebuchet MS"/>
          <w:sz w:val="22"/>
          <w:szCs w:val="22"/>
        </w:rPr>
        <w:t>;</w:t>
      </w:r>
    </w:p>
    <w:p w14:paraId="179877C6" w14:textId="33513D7F" w:rsidR="00573F3F" w:rsidRDefault="00573F3F" w:rsidP="002F1077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Art. 2 </w:t>
      </w:r>
      <w:r w:rsidR="008A661A" w:rsidRPr="008A661A">
        <w:rPr>
          <w:rFonts w:ascii="Trebuchet MS" w:hAnsi="Trebuchet MS"/>
          <w:sz w:val="22"/>
          <w:szCs w:val="22"/>
        </w:rPr>
        <w:t xml:space="preserve">După finalizarea proiectelor care constau în finanțarea infrastructurii sau a unor operațiuni de construcție </w:t>
      </w:r>
      <w:r w:rsidR="00B4407D">
        <w:rPr>
          <w:rFonts w:ascii="Trebuchet MS" w:hAnsi="Trebuchet MS"/>
          <w:sz w:val="22"/>
          <w:szCs w:val="22"/>
        </w:rPr>
        <w:t>sau</w:t>
      </w:r>
      <w:r w:rsidR="00B4407D" w:rsidRPr="00B4407D">
        <w:rPr>
          <w:rFonts w:ascii="Trebuchet MS" w:hAnsi="Trebuchet MS"/>
          <w:sz w:val="22"/>
          <w:szCs w:val="22"/>
        </w:rPr>
        <w:t xml:space="preserve"> în achiziţionarea unui obiect fizic</w:t>
      </w:r>
      <w:r w:rsidR="00B4407D">
        <w:rPr>
          <w:rFonts w:ascii="Trebuchet MS" w:hAnsi="Trebuchet MS"/>
          <w:sz w:val="22"/>
          <w:szCs w:val="22"/>
        </w:rPr>
        <w:t xml:space="preserve"> </w:t>
      </w:r>
      <w:r w:rsidR="008A661A" w:rsidRPr="008A661A">
        <w:rPr>
          <w:rFonts w:ascii="Trebuchet MS" w:hAnsi="Trebuchet MS"/>
          <w:sz w:val="22"/>
          <w:szCs w:val="22"/>
        </w:rPr>
        <w:t>şi depăşesc valoarea de 500.000 euro, panourile pentru afișare temporară vor fi înlocuite cu plăci permanente, la cel mult 3 luni după finalizarea operațiunii.</w:t>
      </w:r>
      <w:r w:rsidR="0026428E" w:rsidRPr="0026428E">
        <w:t xml:space="preserve"> </w:t>
      </w:r>
      <w:r w:rsidR="0026428E" w:rsidRPr="0026428E">
        <w:rPr>
          <w:rFonts w:ascii="Trebuchet MS" w:hAnsi="Trebuchet MS"/>
          <w:sz w:val="22"/>
          <w:szCs w:val="22"/>
        </w:rPr>
        <w:t>Față de modelul accesibil la link-ul http://www.fonduri-ue.ro/transparenta/comunicare, pe lângă elementele de informare minime obligatorii, beneficiarii pot adăuga, sub titlul proiectului, titlul contractului de lucrări</w:t>
      </w:r>
      <w:r w:rsidR="0026428E">
        <w:rPr>
          <w:rFonts w:ascii="Trebuchet MS" w:hAnsi="Trebuchet MS"/>
          <w:sz w:val="22"/>
          <w:szCs w:val="22"/>
        </w:rPr>
        <w:t xml:space="preserve"> sau furnizare</w:t>
      </w:r>
      <w:r w:rsidR="0026428E" w:rsidRPr="0026428E">
        <w:rPr>
          <w:rFonts w:ascii="Trebuchet MS" w:hAnsi="Trebuchet MS"/>
          <w:sz w:val="22"/>
          <w:szCs w:val="22"/>
        </w:rPr>
        <w:t xml:space="preserve"> / denumirea investiției</w:t>
      </w:r>
      <w:r w:rsidR="0026428E">
        <w:rPr>
          <w:rFonts w:ascii="Trebuchet MS" w:hAnsi="Trebuchet MS"/>
          <w:sz w:val="22"/>
          <w:szCs w:val="22"/>
        </w:rPr>
        <w:t>.</w:t>
      </w:r>
    </w:p>
    <w:p w14:paraId="40072E98" w14:textId="77777777" w:rsidR="00767E85" w:rsidRDefault="00767E85" w:rsidP="002F1077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</w:p>
    <w:p w14:paraId="62A3EA65" w14:textId="77777777" w:rsidR="00744BDC" w:rsidRDefault="00744BDC" w:rsidP="002F1077">
      <w:pPr>
        <w:spacing w:after="120" w:line="276" w:lineRule="auto"/>
        <w:ind w:left="1701" w:right="284"/>
        <w:jc w:val="both"/>
        <w:rPr>
          <w:rFonts w:ascii="Trebuchet MS" w:hAnsi="Trebuchet MS"/>
          <w:sz w:val="22"/>
          <w:szCs w:val="22"/>
        </w:rPr>
      </w:pPr>
    </w:p>
    <w:p w14:paraId="56C050A9" w14:textId="469ABEA4" w:rsidR="00594C98" w:rsidRPr="005E14E1" w:rsidRDefault="00594C98" w:rsidP="00594C98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E14E1">
        <w:rPr>
          <w:rFonts w:ascii="Trebuchet MS" w:hAnsi="Trebuchet MS"/>
          <w:b/>
          <w:sz w:val="22"/>
          <w:szCs w:val="22"/>
        </w:rPr>
        <w:t>Rovana P</w:t>
      </w:r>
      <w:r w:rsidR="005E14E1">
        <w:rPr>
          <w:rFonts w:ascii="Trebuchet MS" w:hAnsi="Trebuchet MS"/>
          <w:b/>
          <w:sz w:val="22"/>
          <w:szCs w:val="22"/>
        </w:rPr>
        <w:t>lumb</w:t>
      </w:r>
    </w:p>
    <w:p w14:paraId="2AE34387" w14:textId="77777777" w:rsidR="00594C98" w:rsidRPr="005E14E1" w:rsidRDefault="00594C98" w:rsidP="00594C98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5E14E1">
        <w:rPr>
          <w:rFonts w:ascii="Trebuchet MS" w:hAnsi="Trebuchet MS"/>
          <w:b/>
          <w:sz w:val="22"/>
          <w:szCs w:val="22"/>
        </w:rPr>
        <w:t>Ministru</w:t>
      </w:r>
    </w:p>
    <w:p w14:paraId="51EDDA4F" w14:textId="6BA26D9A" w:rsidR="00216602" w:rsidRPr="005E14E1" w:rsidRDefault="00594C98" w:rsidP="00594C98">
      <w:pPr>
        <w:spacing w:after="120" w:line="276" w:lineRule="auto"/>
        <w:ind w:left="1701" w:right="284"/>
        <w:jc w:val="center"/>
        <w:rPr>
          <w:rFonts w:ascii="Trebuchet MS" w:hAnsi="Trebuchet MS"/>
          <w:b/>
          <w:sz w:val="22"/>
          <w:szCs w:val="22"/>
        </w:rPr>
      </w:pPr>
      <w:r w:rsidRPr="005E14E1">
        <w:rPr>
          <w:rFonts w:ascii="Trebuchet MS" w:hAnsi="Trebuchet MS"/>
          <w:b/>
          <w:sz w:val="22"/>
          <w:szCs w:val="22"/>
        </w:rPr>
        <w:t>Ministerul Fondurilor Europene</w:t>
      </w:r>
    </w:p>
    <w:p w14:paraId="2CDCE9CF" w14:textId="77777777" w:rsidR="00216602" w:rsidRPr="005E14E1" w:rsidRDefault="00216602" w:rsidP="00216602">
      <w:pPr>
        <w:spacing w:after="120" w:line="276" w:lineRule="auto"/>
        <w:ind w:left="1701" w:right="284"/>
        <w:rPr>
          <w:rFonts w:ascii="Trebuchet MS" w:hAnsi="Trebuchet MS"/>
          <w:b/>
          <w:sz w:val="22"/>
          <w:szCs w:val="22"/>
        </w:rPr>
      </w:pPr>
    </w:p>
    <w:p w14:paraId="32026D43" w14:textId="77777777" w:rsidR="00216602" w:rsidRP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22266C9F" w14:textId="77777777" w:rsidR="00216602" w:rsidRP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520416B4" w14:textId="77777777" w:rsidR="00216602" w:rsidRP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01E7DE45" w14:textId="77777777" w:rsidR="00216602" w:rsidRP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3746BF9B" w14:textId="77777777" w:rsidR="00216602" w:rsidRDefault="00216602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3C2436D9" w14:textId="6F11013D" w:rsidR="00216602" w:rsidRPr="00216602" w:rsidRDefault="005E14E1" w:rsidP="00216602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</w:t>
      </w:r>
    </w:p>
    <w:p w14:paraId="1EADC624" w14:textId="77777777" w:rsidR="00B70C48" w:rsidRPr="00B70C48" w:rsidRDefault="00B70C48" w:rsidP="00657880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p w14:paraId="0B971B3D" w14:textId="77777777" w:rsidR="006E6F27" w:rsidRPr="00B70C48" w:rsidRDefault="006E6F27" w:rsidP="00657880">
      <w:pPr>
        <w:spacing w:after="120" w:line="276" w:lineRule="auto"/>
        <w:ind w:left="1701" w:right="284"/>
        <w:rPr>
          <w:rFonts w:ascii="Trebuchet MS" w:hAnsi="Trebuchet MS"/>
          <w:sz w:val="22"/>
          <w:szCs w:val="22"/>
        </w:rPr>
      </w:pPr>
    </w:p>
    <w:sectPr w:rsidR="006E6F27" w:rsidRPr="00B70C48" w:rsidSect="00B70C48">
      <w:headerReference w:type="default" r:id="rId8"/>
      <w:footerReference w:type="default" r:id="rId9"/>
      <w:pgSz w:w="11900" w:h="16840"/>
      <w:pgMar w:top="1417" w:right="277" w:bottom="1417" w:left="566" w:header="5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F818" w14:textId="77777777" w:rsidR="001F706E" w:rsidRDefault="001F706E" w:rsidP="00676A7A">
      <w:r>
        <w:separator/>
      </w:r>
    </w:p>
  </w:endnote>
  <w:endnote w:type="continuationSeparator" w:id="0">
    <w:p w14:paraId="1D8AF2B2" w14:textId="77777777" w:rsidR="001F706E" w:rsidRDefault="001F706E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9918" w14:textId="77777777" w:rsidR="006E7C3B" w:rsidRDefault="006E7C3B" w:rsidP="006E7C3B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Bd. Ion Mihalache, nr. 15 – 17, ector 1, București</w:t>
    </w:r>
  </w:p>
  <w:p w14:paraId="6ED9FDBD" w14:textId="77777777" w:rsidR="006E7C3B" w:rsidRDefault="006E7C3B" w:rsidP="006E7C3B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Direcția Comunicare </w:t>
    </w:r>
  </w:p>
  <w:p w14:paraId="3BE83B90" w14:textId="77777777" w:rsidR="006E7C3B" w:rsidRDefault="006E7C3B" w:rsidP="006E7C3B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Tel.: + 40 372 838 614 / + 40 372 838 321</w:t>
    </w:r>
  </w:p>
  <w:p w14:paraId="5741DF8C" w14:textId="0377F8CD" w:rsidR="006E7C3B" w:rsidRDefault="005E14E1" w:rsidP="006E7C3B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contact</w:t>
    </w:r>
    <w:r w:rsidR="006E7C3B">
      <w:rPr>
        <w:rFonts w:ascii="Trebuchet MS" w:hAnsi="Trebuchet MS"/>
        <w:sz w:val="14"/>
        <w:szCs w:val="14"/>
      </w:rPr>
      <w:t>.</w:t>
    </w:r>
    <w:r>
      <w:rPr>
        <w:rFonts w:ascii="Trebuchet MS" w:hAnsi="Trebuchet MS"/>
        <w:sz w:val="14"/>
        <w:szCs w:val="14"/>
      </w:rPr>
      <w:t>minister</w:t>
    </w:r>
    <w:r w:rsidR="006E7C3B">
      <w:rPr>
        <w:rFonts w:ascii="Trebuchet MS" w:hAnsi="Trebuchet MS"/>
        <w:sz w:val="14"/>
        <w:szCs w:val="14"/>
      </w:rPr>
      <w:t>@fonduri-ue.ro</w:t>
    </w:r>
  </w:p>
  <w:p w14:paraId="1529EEB4" w14:textId="77777777" w:rsidR="006E7C3B" w:rsidRDefault="006E7C3B" w:rsidP="006E7C3B">
    <w:pPr>
      <w:pStyle w:val="Footer"/>
      <w:ind w:left="1701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www.fonduri-ue.ro</w:t>
    </w:r>
  </w:p>
  <w:p w14:paraId="04B73800" w14:textId="77777777" w:rsidR="006E7C3B" w:rsidRDefault="006E7C3B" w:rsidP="006E7C3B">
    <w:pPr>
      <w:pStyle w:val="Footer"/>
      <w:ind w:left="1701"/>
      <w:rPr>
        <w:rFonts w:ascii="Trebuchet MS" w:hAnsi="Trebuchet MS"/>
        <w:sz w:val="14"/>
        <w:szCs w:val="14"/>
      </w:rPr>
    </w:pPr>
  </w:p>
  <w:p w14:paraId="3BC518F4" w14:textId="77777777" w:rsidR="006E6F27" w:rsidRPr="006E7C3B" w:rsidRDefault="006E6F27" w:rsidP="006E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201D" w14:textId="77777777" w:rsidR="001F706E" w:rsidRDefault="001F706E" w:rsidP="00676A7A">
      <w:r>
        <w:separator/>
      </w:r>
    </w:p>
  </w:footnote>
  <w:footnote w:type="continuationSeparator" w:id="0">
    <w:p w14:paraId="075C0318" w14:textId="77777777" w:rsidR="001F706E" w:rsidRDefault="001F706E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05419" w14:textId="77777777" w:rsidR="00676A7A" w:rsidRDefault="0003398B" w:rsidP="00676A7A">
    <w:pPr>
      <w:pStyle w:val="Header"/>
    </w:pPr>
    <w:r>
      <w:rPr>
        <w:noProof/>
        <w:lang w:val="en-US"/>
      </w:rPr>
      <w:drawing>
        <wp:inline distT="0" distB="0" distL="0" distR="0" wp14:anchorId="1F55469B" wp14:editId="258258CA">
          <wp:extent cx="7021195" cy="956945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entenar_MF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727A2" w14:textId="77777777" w:rsidR="00676A7A" w:rsidRDefault="00676A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7A"/>
    <w:rsid w:val="0003398B"/>
    <w:rsid w:val="00066AAA"/>
    <w:rsid w:val="001F706E"/>
    <w:rsid w:val="00216602"/>
    <w:rsid w:val="00261669"/>
    <w:rsid w:val="0026428E"/>
    <w:rsid w:val="002E1B44"/>
    <w:rsid w:val="002E62BD"/>
    <w:rsid w:val="002F1077"/>
    <w:rsid w:val="003E29F8"/>
    <w:rsid w:val="00434FF9"/>
    <w:rsid w:val="004E2C76"/>
    <w:rsid w:val="00527147"/>
    <w:rsid w:val="00560424"/>
    <w:rsid w:val="00573F3F"/>
    <w:rsid w:val="00594C98"/>
    <w:rsid w:val="005E14E1"/>
    <w:rsid w:val="00657880"/>
    <w:rsid w:val="00676A7A"/>
    <w:rsid w:val="006C346C"/>
    <w:rsid w:val="006E1338"/>
    <w:rsid w:val="006E6F27"/>
    <w:rsid w:val="006E7C3B"/>
    <w:rsid w:val="00710BF4"/>
    <w:rsid w:val="00736B94"/>
    <w:rsid w:val="00744BDC"/>
    <w:rsid w:val="00767E85"/>
    <w:rsid w:val="008A661A"/>
    <w:rsid w:val="009410FC"/>
    <w:rsid w:val="00944919"/>
    <w:rsid w:val="00AC46E0"/>
    <w:rsid w:val="00AE6AAC"/>
    <w:rsid w:val="00B4407D"/>
    <w:rsid w:val="00B70C48"/>
    <w:rsid w:val="00B83A46"/>
    <w:rsid w:val="00BD423F"/>
    <w:rsid w:val="00C81FB0"/>
    <w:rsid w:val="00D038E8"/>
    <w:rsid w:val="00E1041E"/>
    <w:rsid w:val="00E53C3F"/>
    <w:rsid w:val="00E94302"/>
    <w:rsid w:val="00EC0F85"/>
    <w:rsid w:val="00F10E30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04DE"/>
  <w14:defaultImageDpi w14:val="32767"/>
  <w15:docId w15:val="{7D61579C-95AA-462F-9882-0C60AE4C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02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2E1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uri-ue.ro/transparenta/comunica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18B0-E192-4E56-9C97-060472E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Malina Frateanu</cp:lastModifiedBy>
  <cp:revision>2</cp:revision>
  <cp:lastPrinted>2018-05-21T07:50:00Z</cp:lastPrinted>
  <dcterms:created xsi:type="dcterms:W3CDTF">2018-06-12T13:39:00Z</dcterms:created>
  <dcterms:modified xsi:type="dcterms:W3CDTF">2018-06-12T13:39:00Z</dcterms:modified>
</cp:coreProperties>
</file>